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5A0D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auto"/>
          <w:lang w:bidi="ar"/>
        </w:rPr>
      </w:pPr>
      <w:bookmarkStart w:id="33" w:name="_GoBack"/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auto"/>
          <w:lang w:bidi="ar"/>
        </w:rPr>
        <w:t>附件1</w:t>
      </w:r>
    </w:p>
    <w:p w14:paraId="411083B2">
      <w:pPr>
        <w:pStyle w:val="2"/>
        <w:rPr>
          <w:rFonts w:hint="eastAsia"/>
        </w:rPr>
      </w:pPr>
    </w:p>
    <w:p w14:paraId="1EA145E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auto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auto"/>
          <w:lang w:eastAsia="zh-CN" w:bidi="ar"/>
        </w:rPr>
        <w:t>全员人口信息库数据接口采购项目需求书</w:t>
      </w:r>
    </w:p>
    <w:p w14:paraId="33FCD60C">
      <w:pPr>
        <w:pStyle w:val="2"/>
        <w:rPr>
          <w:rFonts w:hint="eastAsia"/>
        </w:rPr>
      </w:pPr>
    </w:p>
    <w:bookmarkEnd w:id="33"/>
    <w:p w14:paraId="27D91B5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auto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auto"/>
          <w:lang w:bidi="ar"/>
        </w:rPr>
        <w:t>一、项目背景</w:t>
      </w:r>
    </w:p>
    <w:p w14:paraId="506EF74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bidi="ar"/>
        </w:rPr>
        <w:t>为落实《国家卫生健康委关于加强全员人口信息应用管理的通知》(国卫人口函〔2022)12号）(以下简称《通知》)文件要求，建立国家和省级数据上报和反馈机制，实现国家和省级人口信息库数据交换功能，在国家卫生健康委规划司和人口家庭司统筹下国家卫生健康委统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val="en-US" w:eastAsia="zh-CN" w:bidi="ar"/>
        </w:rPr>
        <w:t>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bidi="ar"/>
        </w:rPr>
        <w:t>中心编制了《国家卫生健康委全员人口信息库国家-省级数据接口规范》《国家卫生健康委全员人口信息库安全接入规范》，保障国家与省级数据交换接口建设的规范性和数据交换安全性。</w:t>
      </w:r>
    </w:p>
    <w:p w14:paraId="059DC11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auto"/>
          <w:lang w:val="en-US" w:eastAsia="zh-CN" w:bidi="ar"/>
        </w:rPr>
        <w:t>目前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val="en-US" w:eastAsia="zh-CN" w:bidi="ar"/>
        </w:rPr>
        <w:t>我公司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auto"/>
          <w:lang w:val="en-US" w:eastAsia="zh-CN" w:bidi="ar"/>
        </w:rPr>
        <w:t>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val="en-US" w:eastAsia="zh-CN" w:bidi="ar"/>
        </w:rPr>
        <w:t>完成加密设备配置和安全接口规范相关工作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auto"/>
          <w:lang w:val="en-US" w:eastAsia="zh-CN" w:bidi="ar"/>
        </w:rPr>
        <w:t>。依据《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bidi="ar"/>
        </w:rPr>
        <w:t>国家卫生健康委全员人口信息库国家-省级数据接口规范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auto"/>
          <w:lang w:val="en-US" w:eastAsia="zh-CN" w:bidi="ar"/>
        </w:rPr>
        <w:t>》要求，为保障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val="en-US" w:eastAsia="zh-CN" w:bidi="ar"/>
        </w:rPr>
        <w:t>数据互联互通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auto"/>
          <w:lang w:val="en-US" w:eastAsia="zh-CN" w:bidi="ar"/>
        </w:rPr>
        <w:t>，需要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val="en-US" w:eastAsia="zh-CN" w:bidi="ar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全员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人口信息库数据交换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接口相关工作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auto"/>
          <w:lang w:val="en-US" w:eastAsia="zh-CN" w:bidi="ar"/>
        </w:rPr>
        <w:t>。</w:t>
      </w:r>
    </w:p>
    <w:p w14:paraId="53CD76E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auto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auto"/>
          <w:lang w:eastAsia="zh-CN" w:bidi="ar"/>
        </w:rPr>
        <w:t>二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auto"/>
          <w:lang w:bidi="ar"/>
        </w:rPr>
        <w:t>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auto"/>
          <w:lang w:val="en-US" w:eastAsia="zh-CN" w:bidi="ar"/>
        </w:rPr>
        <w:t>采购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auto"/>
          <w:lang w:bidi="ar"/>
        </w:rPr>
        <w:t>事项及期限</w:t>
      </w:r>
    </w:p>
    <w:p w14:paraId="301567D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auto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国家和省级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全员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人口信息库数据交换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接口建设、安装、调试、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质保、售后及其他伴随服务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auto"/>
          <w:lang w:val="en-US" w:eastAsia="zh-CN" w:bidi="ar"/>
        </w:rPr>
        <w:t>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auto"/>
          <w:lang w:bidi="ar"/>
        </w:rPr>
        <w:t>，自合同签订之日起，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auto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auto"/>
          <w:lang w:bidi="ar"/>
        </w:rPr>
        <w:t>个月内完成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auto"/>
          <w:lang w:val="en-US" w:eastAsia="zh-CN" w:bidi="ar"/>
        </w:rPr>
        <w:t>相关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auto"/>
          <w:lang w:bidi="ar"/>
        </w:rPr>
        <w:t>任务。</w:t>
      </w:r>
    </w:p>
    <w:p w14:paraId="1C96629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auto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auto"/>
          <w:lang w:val="en-US" w:eastAsia="zh-CN" w:bidi="ar"/>
        </w:rPr>
        <w:t>三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auto"/>
          <w:lang w:bidi="ar"/>
        </w:rPr>
        <w:t>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auto"/>
          <w:lang w:val="en-US" w:eastAsia="zh-CN" w:bidi="ar"/>
        </w:rPr>
        <w:t>采购预算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auto"/>
          <w:lang w:bidi="ar"/>
        </w:rPr>
        <w:t>费用</w:t>
      </w:r>
    </w:p>
    <w:p w14:paraId="643A42B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auto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auto"/>
          <w:lang w:bidi="ar"/>
        </w:rPr>
        <w:t>报价不得超过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auto"/>
          <w:lang w:val="en-US" w:eastAsia="zh-CN" w:bidi="ar"/>
        </w:rPr>
        <w:t>15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auto"/>
          <w:lang w:bidi="ar"/>
        </w:rPr>
        <w:t>万元。</w:t>
      </w:r>
    </w:p>
    <w:p w14:paraId="282B12A5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auto"/>
          <w:lang w:val="en-US" w:eastAsia="zh-CN" w:bidi="ar"/>
        </w:rPr>
        <w:t>采购要求</w:t>
      </w:r>
    </w:p>
    <w:p w14:paraId="2616F46F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shd w:val="clear" w:color="auto" w:fill="auto"/>
          <w:lang w:val="en-US" w:eastAsia="zh-CN"/>
        </w:rPr>
        <w:t>项目业务功能需求</w:t>
      </w:r>
    </w:p>
    <w:p w14:paraId="08423766"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41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功能菜单管理功能</w:t>
      </w:r>
    </w:p>
    <w:p w14:paraId="485775D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菜单管理包含新增菜单、修改菜单、删除菜单、查询菜单、菜单时动态数据用于维护菜单列表以及权限的实现，菜单里维护按钮可以实现按钮的分配，菜单里的地址用户跳转。</w:t>
      </w:r>
    </w:p>
    <w:p w14:paraId="4140012D"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41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字典管理功能</w:t>
      </w:r>
    </w:p>
    <w:p w14:paraId="0D5D21D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字典管理通过集中管控各类业务数据的定义、编码规则及取值范围，保障了系统数据的一致性与准确性。它具备数据录入、编辑、删除和版本控制等功能，便于维护字典数据并追溯历史。</w:t>
      </w:r>
    </w:p>
    <w:p w14:paraId="47A69FA0"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41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接口配置管理</w:t>
      </w:r>
    </w:p>
    <w:p w14:paraId="3D8F945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接口配置：管理国家平台接口地址、名称、数据格式等信息，支持手动输入和修改，能解析接口文档进行配置。</w:t>
      </w:r>
    </w:p>
    <w:p w14:paraId="4F037A8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数据源配置：支持配置省级数据库等数据源的连接信息，可保存为不同配置文件。</w:t>
      </w:r>
    </w:p>
    <w:p w14:paraId="367C451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推送策略配置：配置批量大小、推送间隔、重试次数等推送策略，灵活调整推送行为。</w:t>
      </w:r>
    </w:p>
    <w:p w14:paraId="6E719947"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41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数据推送工作流</w:t>
      </w:r>
    </w:p>
    <w:p w14:paraId="194F106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任务创建与执行：用户可在界面创建数据推送任务，选择数据源、接口、策略及执行时间与频率，系统生成任务并执行，实时记录状态和结果。</w:t>
      </w:r>
    </w:p>
    <w:p w14:paraId="7243271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进度查看与结果导出：实时查看任务进度，有进度条和图表辅助。任务完成后可导出结果，支持 Excel 格式。</w:t>
      </w:r>
    </w:p>
    <w:p w14:paraId="16241BC0"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41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失败处理流程</w:t>
      </w:r>
    </w:p>
    <w:p w14:paraId="395268B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失败数据查询与筛选：按数据来源、时间、原因等条件查询失败数据，支持模糊和组合查询。</w:t>
      </w:r>
    </w:p>
    <w:p w14:paraId="4BCCED9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手动干预与重试：可单条或批量干预失败数据，修改后重推，系统记录操作并生成新任务，也可按策略重试。</w:t>
      </w:r>
    </w:p>
    <w:p w14:paraId="3BAB75D8"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41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任务监控面板</w:t>
      </w:r>
    </w:p>
    <w:p w14:paraId="2309B77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实时监控与报警：实时展示任务状态，异常或失败时进行预警。</w:t>
      </w:r>
    </w:p>
    <w:p w14:paraId="3588177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历史任务统计与分析：提供成功率、失败率等指标统计，以图表报表展示，助于了解性能、优化配置与调整策略。</w:t>
      </w:r>
    </w:p>
    <w:p w14:paraId="09307E35"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41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日志管理功能</w:t>
      </w:r>
    </w:p>
    <w:p w14:paraId="063843C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操作日志：记录用户在平台上的操作，如配置修改、任务执行、失败处理等，支持日志查询和分析。</w:t>
      </w:r>
    </w:p>
    <w:p w14:paraId="0C68DA4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系统日志：记录系统运行状态、错误信息等，便于排查问题和优化系统。</w:t>
      </w:r>
    </w:p>
    <w:p w14:paraId="247C4435"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41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用户管理功能</w:t>
      </w:r>
    </w:p>
    <w:p w14:paraId="0CBD5D8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用户认证与授权：管理用户账号和权限，确保不同用户只能访问和操作其被授权的资源。</w:t>
      </w:r>
    </w:p>
    <w:p w14:paraId="1045C4B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角色管理：支持创建不同角色，分配不同权限，方便管理和维护用户权限。</w:t>
      </w:r>
    </w:p>
    <w:p w14:paraId="64F731D3"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41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系统管理功能</w:t>
      </w:r>
    </w:p>
    <w:p w14:paraId="520DA04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配置平台的基本信息，如系统名称、版本号等。</w:t>
      </w:r>
    </w:p>
    <w:p w14:paraId="67790805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shd w:val="clear" w:color="auto" w:fill="auto"/>
          <w:lang w:val="en-US" w:eastAsia="zh-CN"/>
        </w:rPr>
        <w:t>技术要求</w:t>
      </w:r>
    </w:p>
    <w:p w14:paraId="14116C85"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auto"/>
          <w:lang w:val="en-US" w:eastAsia="zh-CN"/>
        </w:rPr>
        <w:t>项目建设原则</w:t>
      </w:r>
    </w:p>
    <w:p w14:paraId="2C5CA7B9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1.1规范性原则</w:t>
      </w:r>
    </w:p>
    <w:p w14:paraId="755C89D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接口设计应遵循国家下发的接口标准以及相关行业规范，确保接口的命名、数据格式、传输方式等方面的一致性。制定统一的接口协议，明确数据交换格式、错误处理机制等，以保障接口的稳定性和一致性。</w:t>
      </w:r>
    </w:p>
    <w:p w14:paraId="19D6FD42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bookmarkStart w:id="0" w:name="_Toc371324929"/>
      <w:bookmarkStart w:id="1" w:name="_Toc231894030"/>
      <w:bookmarkStart w:id="2" w:name="_Toc247458532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1.2</w:t>
      </w:r>
      <w:bookmarkEnd w:id="0"/>
      <w:bookmarkEnd w:id="1"/>
      <w:bookmarkEnd w:id="2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数据安全原则</w:t>
      </w:r>
    </w:p>
    <w:p w14:paraId="7BD7886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采用具备国家密码管理局颁发的《商用密码产品认证证书》，确保数据在传输和存储过程中的安全性。对接口调用进行日志记录，实现操作的可溯源和监控，保障数据的隐私和安全。</w:t>
      </w:r>
    </w:p>
    <w:p w14:paraId="57449241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bookmarkStart w:id="3" w:name="_Toc247458533"/>
      <w:bookmarkStart w:id="4" w:name="_Toc231894031"/>
      <w:bookmarkStart w:id="5" w:name="_Toc37132493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1.3</w:t>
      </w:r>
      <w:bookmarkEnd w:id="3"/>
      <w:bookmarkEnd w:id="4"/>
      <w:bookmarkEnd w:id="5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数据质量原则</w:t>
      </w:r>
    </w:p>
    <w:p w14:paraId="0C77A7B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确保数据的完整性、一致性和准确性，避免数据在传输和交换过程中出现丢失或错误。</w:t>
      </w:r>
    </w:p>
    <w:p w14:paraId="00A8AEAA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1.4稳定性原则</w:t>
      </w:r>
    </w:p>
    <w:p w14:paraId="64040A8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接口设计应考虑系统的高可用性和稳定性，确保在高并发和大数据量的情况下仍能正常运行。通过技术手段和架构设计，保障接口的稳定运行，减少故障和中断。</w:t>
      </w:r>
    </w:p>
    <w:p w14:paraId="190C7530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bookmarkStart w:id="6" w:name="_Toc371324931"/>
      <w:bookmarkStart w:id="7" w:name="_Toc247458534"/>
      <w:bookmarkStart w:id="8" w:name="_Toc231894032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1.</w:t>
      </w:r>
      <w:bookmarkEnd w:id="6"/>
      <w:bookmarkEnd w:id="7"/>
      <w:bookmarkEnd w:id="8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5可扩展性原则</w:t>
      </w:r>
    </w:p>
    <w:p w14:paraId="3DD5D51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接口设计应预留扩展空间，以适应未来业务和技术发展的需求。在扩展接口功能时，保持接口间的兼容性与一致性。</w:t>
      </w:r>
    </w:p>
    <w:p w14:paraId="62DA7B43"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auto"/>
          <w:lang w:val="en-US" w:eastAsia="zh-CN"/>
        </w:rPr>
        <w:t>技术路线要求</w:t>
      </w:r>
    </w:p>
    <w:p w14:paraId="041579C6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2.1总体架构设计</w:t>
      </w:r>
    </w:p>
    <w:p w14:paraId="7A416CC7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2.1.1架构概述</w:t>
      </w:r>
    </w:p>
    <w:p w14:paraId="0AA20E9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bookmarkStart w:id="9" w:name="_Toc149622327"/>
      <w:bookmarkStart w:id="10" w:name="_Toc346553856"/>
      <w:bookmarkStart w:id="11" w:name="_Toc149603437"/>
      <w:bookmarkStart w:id="12" w:name="_Toc244056164"/>
      <w:bookmarkStart w:id="13" w:name="_Toc223315506"/>
      <w:bookmarkStart w:id="14" w:name="_Toc80729429"/>
      <w:bookmarkStart w:id="15" w:name="_Toc371324934"/>
      <w:bookmarkStart w:id="16" w:name="_Toc149603231"/>
      <w:bookmarkStart w:id="17" w:name="_Toc103596948"/>
      <w:bookmarkStart w:id="18" w:name="_Toc179509326"/>
      <w:bookmarkStart w:id="19" w:name="_Toc149603025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采用分层架构，分数据接入、处理、服务和展示四层，各层通过接口通信，高内聚低耦合，便于扩展维护。</w:t>
      </w:r>
    </w:p>
    <w:p w14:paraId="57F25F4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数据接入层：从省级数据源数据库取数，用适配器模式解析转换不同格式数据，如 JDBC 连数据库。</w:t>
      </w:r>
    </w:p>
    <w:p w14:paraId="4E3BC2C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数据处理层：对数据清洗空值等、校验（按接口要求验证准确性）、转换（转 JSON 等指定格式），确保符合国家平台标准。</w:t>
      </w:r>
    </w:p>
    <w:p w14:paraId="656F0FF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服务层：基于 Spring Boot 提供 RESTful 服务。含数据推送（选策略、处理结果）、配置管理（可视化改配置并持久化）、任务监控（实时监控任务状态等）服务。</w:t>
      </w:r>
    </w:p>
    <w:p w14:paraId="3EDF54E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展示层：用 Vue 3 构建界面，有配置管理（查改参数）、数据推送（创建执行任务）、失败处理（重试或干预失败数据）、任务监控（图形化展示状态进度）功能。</w:t>
      </w:r>
    </w:p>
    <w:p w14:paraId="3B174DF1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2.1.2高可用性设计</w:t>
      </w:r>
    </w:p>
    <w:p w14:paraId="7A9FE3B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负载均衡：用 Nginx 反向代理，按算法（轮询等）分发请求，监控节点健康，隔离故障节点。</w:t>
      </w:r>
    </w:p>
    <w:p w14:paraId="4B95597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多节点部署：接口服务多节点集群部署，节点独立，通过负载均衡器协调，提升并发和容错能力。</w:t>
      </w:r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 w14:paraId="713A2EC0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bookmarkStart w:id="20" w:name="_Toc149622328"/>
      <w:bookmarkStart w:id="21" w:name="_Toc79217234"/>
      <w:bookmarkStart w:id="22" w:name="_Toc149603438"/>
      <w:bookmarkStart w:id="23" w:name="_Toc79253944"/>
      <w:bookmarkStart w:id="24" w:name="_Toc149603026"/>
      <w:bookmarkStart w:id="25" w:name="_Toc149603232"/>
      <w:bookmarkStart w:id="26" w:name="_Toc371324936"/>
      <w:bookmarkStart w:id="27" w:name="_Toc223315507"/>
      <w:bookmarkStart w:id="28" w:name="_Toc244056165"/>
      <w:bookmarkStart w:id="29" w:name="_Toc103596949"/>
      <w:bookmarkStart w:id="30" w:name="_Toc79242419"/>
      <w:bookmarkStart w:id="31" w:name="_Toc80729430"/>
      <w:bookmarkStart w:id="32" w:name="_Toc179509328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2.1.3安全性设计</w:t>
      </w:r>
    </w:p>
    <w:p w14:paraId="6C4F623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采用具备国家密码管理局所颁发《商用密码产品认证证书》的专业密码服务，以确保系统在数据加密、身份认证等安全环节的合规性与可靠性。</w:t>
      </w:r>
    </w:p>
    <w:p w14:paraId="2993CCB0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2.2数据处理与推送</w:t>
      </w:r>
    </w:p>
    <w:p w14:paraId="0528BFD4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2.2.1数据来源及读取方式</w:t>
      </w:r>
    </w:p>
    <w:p w14:paraId="05E7E31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数据来源：接口数据源采用 Oracle，通过 JDBC 连接数据库，运用分页查询或游标技术批量读取指定表的数据，防止一次性加载过多数据引发内存溢出。</w:t>
      </w:r>
    </w:p>
    <w:p w14:paraId="5B71E54C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2.2.2数据校验与清洗</w:t>
      </w:r>
    </w:p>
    <w:p w14:paraId="129E0FF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依据接口文档的参数规格和值域代码表校验数据，确保字段格式、类型、长度等符合要求，如检查字符串是否为空、数字是否在范围、日期是否合法。</w:t>
      </w:r>
    </w:p>
    <w:p w14:paraId="5BA3D498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2.2.3数据转换与预处理</w:t>
      </w:r>
    </w:p>
    <w:p w14:paraId="0E01814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将数据转换为适合推送的 JSON 格式，按接口文档的数据结构要求映射原始数据到对应 JSON 字段。对数据进行预处理，如按特定字段分片以便批量推送，按时间戳等字段排序保证数据有序。</w:t>
      </w:r>
    </w:p>
    <w:p w14:paraId="08767AD3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2.2.4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数据推送</w:t>
      </w:r>
    </w:p>
    <w:p w14:paraId="6B9A5B6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数据推送采用多策略保障高效与准确。利用 Java Executor 框架创建线程池调度 WebService 推送任务，大数据量异步处理提升并发与响应；结合接口限制和系统性能，每次批量推送1000 条，随机分区多线程并行，预加载数据块。推送前以全员人口ID 比对重复数据，按规则处理并记录；若遇网络等故障推送失败，自动记录并按配置重试，仍失败则标记，记录信息供分析接口调用问题。</w:t>
      </w:r>
    </w:p>
    <w:p w14:paraId="494531E4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2.3可视化管理平台</w:t>
      </w:r>
    </w:p>
    <w:p w14:paraId="66EBDE6C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2.3.1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配置管理</w:t>
      </w:r>
    </w:p>
    <w:p w14:paraId="23CD991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涵盖接口、数据源、推送策略三方面配置。接口配置含国家平台接口地址、名称、数据格式等，可输入修改信息并解析文档配置；数据源设置支持省级数据库、文件系统等连接信息配置，保存为不同配置文件；推送策略配置如批量大小、间隔、重试次数等，可按需调整推送行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。</w:t>
      </w:r>
    </w:p>
    <w:p w14:paraId="29F4D4C8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2.3.2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数据推送工作流</w:t>
      </w:r>
    </w:p>
    <w:p w14:paraId="44F4C37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任务创建与执行：用户在界面创建任务，选数据源、接口、策略及执行时间与频率，系统生成任务入调度队列。执行时按策略完成数据操作，状态结果实时记录。</w:t>
      </w:r>
    </w:p>
    <w:p w14:paraId="3F1F404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进度查看与结果导出：执行中可查进度，有进度条和图表辅助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完成后可导出结果，支持 Excel格式。</w:t>
      </w:r>
    </w:p>
    <w:p w14:paraId="5480C964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2.3.3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失败处理流程</w:t>
      </w:r>
    </w:p>
    <w:p w14:paraId="240F90C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失败数据查询与筛选：在界面按数据来源、时间、原因等条件查询，支持模糊和组合查询。</w:t>
      </w:r>
    </w:p>
    <w:p w14:paraId="2A453C5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手动干预与重试：可单条或批量干预失败数据，修改后重推，系统记录操作并生成新任务；也可按策略重试。</w:t>
      </w:r>
    </w:p>
    <w:p w14:paraId="78DD6CB0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2.3.4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任务监控面板</w:t>
      </w:r>
    </w:p>
    <w:p w14:paraId="743C86A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实时监控与报警：实时展示任务状态，异常或失败时进行预警。</w:t>
      </w:r>
    </w:p>
    <w:p w14:paraId="3679958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历史任务统计与分析：提供成功率、失败率等指标统计，以图表报表展示，助于了解性能、优化配置与调整策略。</w:t>
      </w:r>
    </w:p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p w14:paraId="3D0ED29A"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auto"/>
          <w:lang w:val="en-US" w:eastAsia="zh-CN"/>
        </w:rPr>
        <w:t>运维服务</w:t>
      </w:r>
    </w:p>
    <w:p w14:paraId="4419B6D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提供7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*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24技术咨询和系统支持服务，通过电话、邮件、网站、微信公众号等方式支持服务。</w:t>
      </w:r>
    </w:p>
    <w:p w14:paraId="69A93A8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提供7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*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24远程故障解决服务，收到系统出现技术故障的运维与售后需求时，将立即做出实质性响应，以最快的速度分析故障原因，保证在尽可能短的时间内解决故障问题。</w:t>
      </w:r>
    </w:p>
    <w:p w14:paraId="42C1651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提供季度健康巡检服务，巡检范围包括超融合存储、虚机、虚拟主机等。主要是为了帮助客户了解系统运行状态，发现和消除问题隐患，提出针对性地使用建议，以确保系统健康运行。</w:t>
      </w:r>
    </w:p>
    <w:p w14:paraId="3FE963A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在服务期内，如有新版本和补丁发布并且客户方需要升级的，需要协助客户进行相关的小版本升级服务。</w:t>
      </w:r>
    </w:p>
    <w:p w14:paraId="675B18D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5.提供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具针对本项目的售后服务承诺函（盖公章）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。</w:t>
      </w:r>
    </w:p>
    <w:p w14:paraId="6CB362F0">
      <w:pPr>
        <w:pStyle w:val="2"/>
        <w:rPr>
          <w:rFonts w:hint="eastAsia"/>
          <w:lang w:val="en-US" w:eastAsia="zh-CN"/>
        </w:rPr>
      </w:pPr>
    </w:p>
    <w:p w14:paraId="14E12249">
      <w:pPr>
        <w:pStyle w:val="5"/>
        <w:rPr>
          <w:rFonts w:hint="eastAsia"/>
          <w:lang w:val="en-US" w:eastAsia="zh-CN"/>
        </w:rPr>
      </w:pPr>
    </w:p>
    <w:p w14:paraId="589F8079">
      <w:pPr>
        <w:pStyle w:val="2"/>
        <w:rPr>
          <w:rFonts w:hint="eastAsia"/>
          <w:lang w:val="en-US" w:eastAsia="zh-CN"/>
        </w:rPr>
      </w:pPr>
    </w:p>
    <w:p w14:paraId="759AF2CC">
      <w:pPr>
        <w:rPr>
          <w:rFonts w:hint="eastAsia"/>
          <w:lang w:val="en-US" w:eastAsia="zh-CN"/>
        </w:rPr>
      </w:pPr>
    </w:p>
    <w:p w14:paraId="0B6FAA6B">
      <w:pPr>
        <w:pStyle w:val="2"/>
        <w:rPr>
          <w:rFonts w:hint="eastAsia"/>
          <w:lang w:val="en-US" w:eastAsia="zh-CN"/>
        </w:rPr>
      </w:pPr>
    </w:p>
    <w:p w14:paraId="1C758FDB">
      <w:pPr>
        <w:rPr>
          <w:rFonts w:hint="eastAsia"/>
          <w:lang w:val="en-US" w:eastAsia="zh-CN"/>
        </w:rPr>
      </w:pPr>
    </w:p>
    <w:p w14:paraId="3595B623">
      <w:pPr>
        <w:pStyle w:val="2"/>
        <w:rPr>
          <w:rFonts w:hint="eastAsia"/>
          <w:lang w:val="en-US" w:eastAsia="zh-CN"/>
        </w:rPr>
      </w:pPr>
    </w:p>
    <w:p w14:paraId="483B0474">
      <w:pPr>
        <w:rPr>
          <w:rFonts w:hint="eastAsia"/>
          <w:lang w:val="en-US" w:eastAsia="zh-CN"/>
        </w:rPr>
      </w:pPr>
    </w:p>
    <w:p w14:paraId="062DC0D6">
      <w:pPr>
        <w:bidi w:val="0"/>
        <w:rPr>
          <w:rFonts w:hint="eastAsia"/>
          <w:lang w:val="en-US" w:eastAsia="zh-CN"/>
        </w:rPr>
      </w:pPr>
    </w:p>
    <w:p w14:paraId="74CB6A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5D13C"/>
    <w:multiLevelType w:val="singleLevel"/>
    <w:tmpl w:val="9AD5D13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E46EEF5"/>
    <w:multiLevelType w:val="singleLevel"/>
    <w:tmpl w:val="BE46EEF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36CD1489"/>
    <w:multiLevelType w:val="singleLevel"/>
    <w:tmpl w:val="36CD148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64B2CF49"/>
    <w:multiLevelType w:val="singleLevel"/>
    <w:tmpl w:val="64B2CF4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17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spacing w:after="0"/>
      <w:ind w:left="0" w:firstLine="420"/>
    </w:pPr>
    <w:rPr>
      <w:rFonts w:ascii="仿宋_GB2312" w:eastAsia="仿宋_GB2312"/>
      <w:sz w:val="32"/>
      <w:szCs w:val="20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"/>
    <w:basedOn w:val="1"/>
    <w:next w:val="2"/>
    <w:qFormat/>
    <w:uiPriority w:val="1"/>
    <w:pPr>
      <w:spacing w:line="38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2025-03-03T07:23:41Z</dcterms:created>
  <dc:creator>Administrator</dc:creator>
  <cp:lastModifiedBy>相言相语妈妈</cp:lastModifiedBy>
  <dcterms:modified xsi:type="dcterms:W3CDTF">2025-03-03T07:24:26Z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eyJoZGlkIjoiYjNiNjM2NjJlMzdlNTE3NTk4N2U5Mjk5Mjg1MjBiYmUiLCJ1c2VySWQiOiIxMDIxOTk2NTQ1In0=</vt:lpwstr>
  </property>
  <property fmtid="{D5CDD505-2E9C-101B-9397-08002B2CF9AE}" pid="4" name="ICV">
    <vt:lpwstr>10B0FDB00719460D97AFA4E320EC2542_12</vt:lpwstr>
  </property>
</Properties>
</file>